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Action Planning for Integrating Meaningful Youth Engagement Strategies into Your Organization’s Youth Safeguarding Measures</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Identify three strategies your organization can implement to engage and empower young people to take action in youth safeguarding strategies. For each strategy, brainstorm how you will apply Meaningful Youth Engagement approaches. </w:t>
      </w:r>
    </w:p>
    <w:p w:rsidR="00000000" w:rsidDel="00000000" w:rsidP="00000000" w:rsidRDefault="00000000" w:rsidRPr="00000000" w14:paraId="00000004">
      <w:pPr>
        <w:ind w:left="0" w:firstLine="0"/>
        <w:rPr>
          <w:i w:val="1"/>
        </w:rPr>
      </w:pPr>
      <w:r w:rsidDel="00000000" w:rsidR="00000000" w:rsidRPr="00000000">
        <w:rPr>
          <w:b w:val="1"/>
          <w:rtl w:val="0"/>
        </w:rPr>
        <w:t xml:space="preserve">Example</w:t>
      </w:r>
      <w:r w:rsidDel="00000000" w:rsidR="00000000" w:rsidRPr="00000000">
        <w:rPr>
          <w:i w:val="1"/>
          <w:rtl w:val="0"/>
        </w:rPr>
        <w:t xml:space="preserve">: Ensure that youth are represented in committee meetings across the organization, such as the High Holiday committee. Meaningful Youth Engagement approaches: Recruit through youth groups and ensure seats are held on the committee each year from youth of varying identities. Create norms for the committee to ensure youth voices are heard and respected. Provide ongoing support and skill building to young people on the committee.</w:t>
      </w: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Strategy #1: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Strategy #2:</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Strategy #3:</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What are some challenges you foresee and how might you work to overcome </w:t>
      </w:r>
      <w:r w:rsidDel="00000000" w:rsidR="00000000" w:rsidRPr="00000000">
        <w:rPr>
          <w:rtl w:val="0"/>
        </w:rPr>
        <w:t xml:space="preserve">them</w:t>
      </w:r>
      <w:r w:rsidDel="00000000" w:rsidR="00000000" w:rsidRPr="00000000">
        <w:rPr>
          <w:rtl w:val="0"/>
        </w:rPr>
        <w:t xml:space="preserve">?</w:t>
      </w:r>
    </w:p>
    <w:p w:rsidR="00000000" w:rsidDel="00000000" w:rsidP="00000000" w:rsidRDefault="00000000" w:rsidRPr="00000000" w14:paraId="00000013">
      <w:pPr>
        <w:ind w:left="0" w:firstLine="0"/>
        <w:rPr>
          <w:i w:val="1"/>
        </w:rPr>
      </w:pPr>
      <w:r w:rsidDel="00000000" w:rsidR="00000000" w:rsidRPr="00000000">
        <w:rPr>
          <w:b w:val="1"/>
          <w:rtl w:val="0"/>
        </w:rPr>
        <w:t xml:space="preserve">Example</w:t>
      </w:r>
      <w:r w:rsidDel="00000000" w:rsidR="00000000" w:rsidRPr="00000000">
        <w:rPr>
          <w:i w:val="1"/>
          <w:rtl w:val="0"/>
        </w:rPr>
        <w:t xml:space="preserve">: Youth often aren’t able to attend meetings after school because of after-school activities. Hold meetings at accessible meeting times and locations for young people. Have them involved in planning the time of meetings. </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Strategy #1: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Strategy #2:</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Strategy #3:</w:t>
      </w:r>
    </w:p>
    <w:p w:rsidR="00000000" w:rsidDel="00000000" w:rsidP="00000000" w:rsidRDefault="00000000" w:rsidRPr="00000000" w14:paraId="00000020">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center"/>
      <w:rPr/>
    </w:pPr>
    <w:r w:rsidDel="00000000" w:rsidR="00000000" w:rsidRPr="00000000">
      <w:rPr>
        <w:b w:val="1"/>
      </w:rPr>
      <w:drawing>
        <wp:inline distB="19050" distT="19050" distL="19050" distR="19050">
          <wp:extent cx="2820575" cy="993750"/>
          <wp:effectExtent b="0" l="0" r="0" t="0"/>
          <wp:docPr descr="A picture containing drawing, window&#10;&#10;Description automatically generated" id="1" name="image1.png"/>
          <a:graphic>
            <a:graphicData uri="http://schemas.openxmlformats.org/drawingml/2006/picture">
              <pic:pic>
                <pic:nvPicPr>
                  <pic:cNvPr descr="A picture containing drawing, window&#10;&#10;Description automatically generated" id="0" name="image1.png"/>
                  <pic:cNvPicPr preferRelativeResize="0"/>
                </pic:nvPicPr>
                <pic:blipFill>
                  <a:blip r:embed="rId1"/>
                  <a:srcRect b="11917" l="0" r="0" t="0"/>
                  <a:stretch>
                    <a:fillRect/>
                  </a:stretch>
                </pic:blipFill>
                <pic:spPr>
                  <a:xfrm>
                    <a:off x="0" y="0"/>
                    <a:ext cx="2820575" cy="9937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